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50D7FF5A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TERMO DE EXECUÇÃO CULTURAL Nº [INDICAR NÚMERO]/[INDICAR ANO] TENDO POR OBJETO A CONCESSÃO DE APOIO FINANCEIRO A AÇÕES CULTURAIS CONTEMPLADAS PELO EDITAL</w:t>
      </w:r>
      <w:r w:rsidR="007B368D">
        <w:rPr>
          <w:rFonts w:ascii="Calibri" w:hAnsi="Calibri" w:cs="Calibri"/>
          <w:sz w:val="24"/>
          <w:szCs w:val="24"/>
        </w:rPr>
        <w:t xml:space="preserve"> nº 01/2024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2D50732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977DF5" w:rsidRPr="00977DF5">
        <w:rPr>
          <w:rFonts w:ascii="Calibri" w:hAnsi="Calibri" w:cs="Calibri"/>
          <w:sz w:val="24"/>
          <w:szCs w:val="24"/>
        </w:rPr>
        <w:t>Município de Perolândia</w:t>
      </w:r>
      <w:r w:rsidRPr="000F607B">
        <w:rPr>
          <w:rFonts w:ascii="Calibri" w:hAnsi="Calibri" w:cs="Calibri"/>
          <w:sz w:val="24"/>
          <w:szCs w:val="24"/>
        </w:rPr>
        <w:t>, neste ato representado p</w:t>
      </w:r>
      <w:r w:rsidR="00977DF5">
        <w:rPr>
          <w:rFonts w:ascii="Calibri" w:hAnsi="Calibri" w:cs="Calibri"/>
          <w:sz w:val="24"/>
          <w:szCs w:val="24"/>
        </w:rPr>
        <w:t>ela Prefeitura Municipal de Perolândia</w:t>
      </w:r>
      <w:r w:rsidRPr="000F607B">
        <w:rPr>
          <w:rFonts w:ascii="Calibri" w:hAnsi="Calibri" w:cs="Calibri"/>
          <w:sz w:val="24"/>
          <w:szCs w:val="24"/>
        </w:rPr>
        <w:t>, Senhora 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6.1 São obrigações do/da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ÓRGÃO RESPONSÁVEL PELO EDITAL]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 </w:t>
      </w:r>
      <w:r w:rsidRPr="000F607B">
        <w:rPr>
          <w:rFonts w:ascii="Calibri" w:hAnsi="Calibri" w:cs="Calibri"/>
          <w:color w:val="FF0000"/>
          <w:sz w:val="24"/>
          <w:szCs w:val="24"/>
        </w:rPr>
        <w:t>[SE A PRESTAÇÃO DE INFORMAÇÕES IN LOCO, ALTERAR ESSE ITEM]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Pr="000F607B">
        <w:rPr>
          <w:rFonts w:ascii="Calibri" w:hAnsi="Calibri" w:cs="Calibri"/>
          <w:color w:val="FF0000"/>
          <w:sz w:val="24"/>
          <w:szCs w:val="24"/>
        </w:rPr>
        <w:t>[INDICAR PRAZO MÁXIMO]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Pr="000F607B">
        <w:rPr>
          <w:rFonts w:ascii="Calibri" w:hAnsi="Calibri" w:cs="Calibri"/>
          <w:color w:val="FF0000"/>
          <w:sz w:val="24"/>
          <w:szCs w:val="24"/>
        </w:rPr>
        <w:t>[NOME DO ÓRGÃO]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7B368D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7B368D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7B368D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5" w14:textId="390D7F2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0000002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2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0F607B">
        <w:rPr>
          <w:rFonts w:ascii="Calibri" w:hAnsi="Calibri" w:cs="Calibri"/>
          <w:sz w:val="24"/>
          <w:szCs w:val="24"/>
        </w:rPr>
        <w:t>aplicar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12.1 </w:t>
      </w:r>
      <w:r w:rsidRPr="000F607B">
        <w:rPr>
          <w:rFonts w:ascii="Calibri" w:hAnsi="Calibri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459FA9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Pr="000F607B">
        <w:rPr>
          <w:rFonts w:ascii="Calibri" w:hAnsi="Calibri" w:cs="Calibri"/>
          <w:color w:val="FF0000"/>
          <w:sz w:val="24"/>
          <w:szCs w:val="24"/>
        </w:rPr>
        <w:t>[PRAZO EM ANOS OU MESES</w:t>
      </w:r>
      <w:r w:rsidRPr="000F607B">
        <w:rPr>
          <w:rFonts w:ascii="Calibri" w:hAnsi="Calibri" w:cs="Calibri"/>
          <w:sz w:val="24"/>
          <w:szCs w:val="24"/>
        </w:rPr>
        <w:t>], podendo ser prorrogado por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[PRAZO MÁXIMO DE PRORROGAÇÃO].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 xml:space="preserve">14. PUBLICAÇÃO </w:t>
      </w:r>
    </w:p>
    <w:p w14:paraId="0000006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14.1 O Extrato do Termo de Execução Cultural será publicado </w:t>
      </w:r>
      <w:r w:rsidRPr="000F607B">
        <w:rPr>
          <w:rFonts w:ascii="Calibri" w:hAnsi="Calibri" w:cs="Calibri"/>
          <w:color w:val="FF0000"/>
          <w:sz w:val="24"/>
          <w:szCs w:val="24"/>
        </w:rPr>
        <w:t>no [INFORMAR ONDE SERÁ PUBLICADO]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15.1 Fica eleito o Foro de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[LOCAL]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1AB71" w14:textId="77777777" w:rsidR="00D63EF6" w:rsidRDefault="00D63EF6" w:rsidP="00264109">
      <w:pPr>
        <w:spacing w:line="240" w:lineRule="auto"/>
      </w:pPr>
      <w:r>
        <w:separator/>
      </w:r>
    </w:p>
  </w:endnote>
  <w:endnote w:type="continuationSeparator" w:id="0">
    <w:p w14:paraId="46AC2EE3" w14:textId="77777777" w:rsidR="00D63EF6" w:rsidRDefault="00D63EF6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CD86" w14:textId="77777777" w:rsidR="003863D2" w:rsidRDefault="003863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E54" w14:textId="77777777" w:rsidR="00211633" w:rsidRPr="000C04EA" w:rsidRDefault="00211633" w:rsidP="00211633">
    <w:pPr>
      <w:tabs>
        <w:tab w:val="left" w:pos="3142"/>
      </w:tabs>
      <w:jc w:val="center"/>
      <w:rPr>
        <w:rFonts w:asciiTheme="minorHAnsi" w:hAnsiTheme="minorHAnsi" w:cstheme="minorHAnsi"/>
        <w:b/>
        <w:sz w:val="18"/>
        <w:szCs w:val="18"/>
      </w:rPr>
    </w:pPr>
    <w:r w:rsidRPr="000C04EA">
      <w:rPr>
        <w:rFonts w:asciiTheme="minorHAnsi" w:hAnsiTheme="minorHAnsi" w:cstheme="minorHAnsi"/>
        <w:b/>
        <w:sz w:val="18"/>
        <w:szCs w:val="18"/>
      </w:rPr>
      <w:t>SECRETARIA MUNICIPAL DE CULTURA</w:t>
    </w:r>
  </w:p>
  <w:p w14:paraId="4F5AF21D" w14:textId="77777777" w:rsidR="00211633" w:rsidRPr="000C04EA" w:rsidRDefault="00211633" w:rsidP="00211633">
    <w:pPr>
      <w:tabs>
        <w:tab w:val="left" w:pos="3142"/>
      </w:tabs>
      <w:jc w:val="center"/>
      <w:rPr>
        <w:rFonts w:asciiTheme="minorHAnsi" w:hAnsiTheme="minorHAnsi" w:cstheme="minorHAnsi"/>
        <w:b/>
        <w:sz w:val="18"/>
        <w:szCs w:val="18"/>
      </w:rPr>
    </w:pPr>
    <w:r w:rsidRPr="000C04EA">
      <w:rPr>
        <w:rFonts w:asciiTheme="minorHAnsi" w:hAnsiTheme="minorHAnsi" w:cstheme="minorHAnsi"/>
        <w:b/>
        <w:color w:val="292B2C"/>
        <w:sz w:val="18"/>
        <w:szCs w:val="18"/>
        <w:shd w:val="clear" w:color="auto" w:fill="FFFFFF"/>
      </w:rPr>
      <w:t>Rua José Alves Vilela s/n – Centro – Fone: (64) 3639-1112 - Perolândia-GO. CEP: 75.823-000</w:t>
    </w:r>
  </w:p>
  <w:p w14:paraId="6F071747" w14:textId="77777777" w:rsidR="00211633" w:rsidRPr="00070AFF" w:rsidRDefault="00211633" w:rsidP="00211633">
    <w:pPr>
      <w:pStyle w:val="Rodap"/>
    </w:pPr>
  </w:p>
  <w:p w14:paraId="31AA4D16" w14:textId="77777777" w:rsidR="003863D2" w:rsidRPr="003863D2" w:rsidRDefault="003863D2" w:rsidP="003863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Theme="majorHAnsi" w:eastAsia="Calibri" w:hAnsiTheme="majorHAnsi" w:cstheme="majorHAnsi"/>
        <w:color w:val="000000"/>
      </w:rPr>
    </w:pPr>
  </w:p>
  <w:p w14:paraId="0DF6CFE4" w14:textId="77777777" w:rsidR="003863D2" w:rsidRPr="003863D2" w:rsidRDefault="003863D2">
    <w:pPr>
      <w:pStyle w:val="Rodap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E761" w14:textId="77777777" w:rsidR="003863D2" w:rsidRDefault="003863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7036" w14:textId="77777777" w:rsidR="00D63EF6" w:rsidRDefault="00D63EF6" w:rsidP="00264109">
      <w:pPr>
        <w:spacing w:line="240" w:lineRule="auto"/>
      </w:pPr>
      <w:r>
        <w:separator/>
      </w:r>
    </w:p>
  </w:footnote>
  <w:footnote w:type="continuationSeparator" w:id="0">
    <w:p w14:paraId="3F78BE2D" w14:textId="77777777" w:rsidR="00D63EF6" w:rsidRDefault="00D63EF6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C51F" w14:textId="77777777" w:rsidR="003863D2" w:rsidRDefault="003863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55DE" w14:textId="77777777" w:rsidR="003863D2" w:rsidRDefault="00386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42207">
    <w:abstractNumId w:val="0"/>
  </w:num>
  <w:num w:numId="2" w16cid:durableId="183737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D05DE"/>
    <w:rsid w:val="000E40BF"/>
    <w:rsid w:val="000F607B"/>
    <w:rsid w:val="001250B1"/>
    <w:rsid w:val="001456AB"/>
    <w:rsid w:val="00155F03"/>
    <w:rsid w:val="00202E75"/>
    <w:rsid w:val="00211633"/>
    <w:rsid w:val="00264109"/>
    <w:rsid w:val="00277E52"/>
    <w:rsid w:val="00291408"/>
    <w:rsid w:val="002E0CD3"/>
    <w:rsid w:val="003863D2"/>
    <w:rsid w:val="003F0A79"/>
    <w:rsid w:val="003F4BEB"/>
    <w:rsid w:val="00766C10"/>
    <w:rsid w:val="00792B68"/>
    <w:rsid w:val="007B368D"/>
    <w:rsid w:val="007B4602"/>
    <w:rsid w:val="00945B21"/>
    <w:rsid w:val="00977DF5"/>
    <w:rsid w:val="009E7EE2"/>
    <w:rsid w:val="00A10607"/>
    <w:rsid w:val="00A20A1C"/>
    <w:rsid w:val="00B1033D"/>
    <w:rsid w:val="00B675F7"/>
    <w:rsid w:val="00BA0F70"/>
    <w:rsid w:val="00BC6AEF"/>
    <w:rsid w:val="00C16518"/>
    <w:rsid w:val="00CD2641"/>
    <w:rsid w:val="00CF527B"/>
    <w:rsid w:val="00D4053C"/>
    <w:rsid w:val="00D63EF6"/>
    <w:rsid w:val="00DD3248"/>
    <w:rsid w:val="00F92079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1756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rosemeire freitras barbosa</dc:creator>
  <cp:keywords/>
  <cp:lastModifiedBy>rosemeire freitras barbosa</cp:lastModifiedBy>
  <cp:revision>21</cp:revision>
  <cp:lastPrinted>2024-09-07T17:43:00Z</cp:lastPrinted>
  <dcterms:created xsi:type="dcterms:W3CDTF">2024-04-04T15:18:00Z</dcterms:created>
  <dcterms:modified xsi:type="dcterms:W3CDTF">2024-09-07T17:43:00Z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